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166 vom 30. April 1991</w:t>
      </w:r>
    </w:p>
    <w:p>
      <w:r>
        <w:t>Bundesgericht (BGE), 1991-04-30, DE</w:t>
      </w:r>
    </w:p>
    <w:p>
      <w:r>
        <w:rPr>
          <w:b/>
        </w:rPr>
        <w:t xml:space="preserve">Quelle: </w:t>
      </w:r>
      <w:r>
        <w:t>https://mcp.opencaselaw.ch/entscheid/bge_117 IA 166</w:t>
      </w:r>
    </w:p>
    <w:p>
      <w:r>
        <w:t>FR: BGE 117 IA 166 du 30 avril 1991</w:t>
      </w:r>
    </w:p>
    <w:p>
      <w:r>
        <w:t>IT: BGE 117 IA 166 del 30 aprile 1991</w:t>
      </w:r>
    </w:p>
    <w:p>
      <w:pPr>
        <w:pStyle w:val="Heading2"/>
      </w:pPr>
      <w:r>
        <w:t>Regeste</w:t>
      </w:r>
    </w:p>
    <w:p>
      <w:r>
        <w:t>Regeste Art. 58 BV und Art. 6 EMRK. Schiedsgerichtsbarkeit; Anspruch auf den verfassungs- und konventionsmässigen Richter. Die aus Art. 58 BV und Art. 6 EMRK fliessenden Garantien beziehen sich nicht bloss auf staatliche Gerichte, sondern ebenfalls auf private Schiedsgerichte. Das gilt insbesondere auch für den Anspruch auf richtige Besetzung des Gerichts (E. 5). Führen trotz der Demission eines Schiedsrichters die übrigen Mitglieder des Schiedsgerichts das Verfahren weiter, ohne dass sie aufgrund einer Parteiabrede zu einem solchen Vorgehen ermächtigt wären, so ist der Anspruch der Parteien auf ordnungsgemässe Zusammensetzung der Spruchkammer verletzt, und zwar selbst dann, wenn der Demissionär sein Mandat ohne wichtigen Grund niedergelegt hat (E. 6).</w:t>
      </w:r>
    </w:p>
    <w:p>
      <w:pPr>
        <w:pStyle w:val="Heading2"/>
      </w:pPr>
      <w:r>
        <w:t>Erwägungen</w:t>
      </w:r>
    </w:p>
    <w:p>
      <w:r>
        <w:rPr>
          <w:b/>
        </w:rPr>
        <w:t>E. 5</w:t>
      </w:r>
    </w:p>
    <w:p>
      <w:r>
        <w:t>a) Die sich aus Art. 58 BV und Art. 6 EMRK ergebenden Garantien beziehen sich nicht bloss auf staatliche Gerichte, sondern auch auf private Schiedsgerichte, deren Entscheide denjenigen der staatlichen Rechtspflege hinsichtlich Rechtskraft und Vollstreckbarkeit gleichstehen und die deshalb dieselbe Gewähr für eine unabhängige Rechtsprechung bieten müssen. Das gilt insbesondere auch für den Anspruch auf richtige Besetzung des Gerichts ( BGE 92 I 276 E. 4; BGE 81 I 327 E. 3; BGE 80 I 341 mit Hinweisen; vgl. auch BGE 115 Ia 404 E. 3 b). b) Nach § 254 Abs. 1 aZPO/ZH, der Art. 31 Abs. 1 des Konkordats über die Schiedsgerichtsbarkeit entspricht, muss der Endentscheid unter Mitwirkung sämtlicher Schiedsrichter gefällt werden. Die Vorschrift enthält einen wesentlichen Verfahrensgrundsatz im Sinne von § 281 Ziff. 1 ZPO /ZH (STRÄULI/MESSMER/WIGET, Kommentar zur Zürcherischen Zivilprozessordnung, 2. Aufl. 1982, N 7 zu § 255). Das Mitwirkungsgebot gilt auch für Teilschiedssprüche, wie im vorliegenden Fall einer in Frage steht (a.a.O., N 1 zu § 254).</w:t>
      </w:r>
    </w:p>
    <w:p>
      <w:r>
        <w:rPr>
          <w:b/>
        </w:rPr>
        <w:t>E. 6</w:t>
      </w:r>
    </w:p>
    <w:p>
      <w:r>
        <w:t>a) Das Obergericht stützt sich auf seine Rechtsprechung, wonach schiedsgerichtliche Entscheide auch bei Uneinigkeit auf dem Zirkulationsweg gefällt werden dürfen, wenn ein Schiedsrichter sich der mündlichen Beratung in missbräuchlicher Weise entzieht (ZR 77/1978, Nr. 107). Diese Rechtsprechung ist im vorliegenden Fall nicht zu überprüfen. Der Fall liegt bereits insoweit anders, als ein Mitglied des Schiedsgerichts sein Amt niedergelegt und eine weitere Mitwirkung am Verfahren abgelehnt, sich mithin nicht bloss in Verzögerungsabsicht einer mündlichen Beratung entzogen hat. BGE 117 Ia 166 S. 169 b) Nach den unbeanstandet gebliebenen Feststellungen des Obergerichts wurde die Amtsniederlegung am 28. Oktober 1986 erklärt, das Verfahren mit Verhandlung vom 7. Februar 1987 fortgesetzt und der Teilschiedsspruch am 8. November 1987 gefällt bzw. unterzeichnet. Damit liegt offensichtlich auch nicht der anders zu beurteilende Fall vor, dass ein am Urteil mitwirkender, mit dem Entscheid jedoch nicht einverstandener Schiedsrichter sich weigert, das Urteil zu unterzeichnen (§ 254 Abs. 1 aZPO/ZH; vgl. auch Art. 33 Abs. 2 des Konkordats über die Schiedsgerichtsbarkeit). c) Ob sich das im Auftragsrecht geltende freie Widerrufsrecht auch auf den Schiedsauftrag bezieht und der Schiedsrichter gestützt darauf - unter Vorbehalt der Schadenersatzpflicht bei Rücktritt zur Unzeit ( Art. 404 Abs. 2 OR ) - sein Mandat jederzeit niederlegen kann (LEUCH, Kommentar zur Berner Zivilprozessordnung, 3. Aufl. 1956, N 1 zu Art. 391; GAUTSCHI, Berner Kommentar, N 34c zu Art. 394 OR ), kann offenbleiben. Denn wird in Übereinstimmung mit einer verbreiteten Lehrmeinung (STRÄULI/MESSMER/WIGET, a.a.O., N 1 zu § 245; LALIVE/POUDRET/REYMOND, Le droit de l'arbitrage interne et international en Suisse, N 1.4 zu Art. 23 Konkordat; JOLIDON, Commentaire du Concordat suisse sur l'arbitrage, N 22 zu Art. 23; GULDENER, Schweizerisches Zivilprozessrecht, 3. Aufl. 1979, S. 607 Anm. 67; RÜEDE/HADENFELDT, Schweizerisches Schiedsgerichtsrecht, S. 166) davon ausgegangen, dass eine Mandatsniederlegung durch einen Schiedsrichter nur aus wichtigen Gründen zulässig ist, so stellt sich sogleich die Frage, wer über die Rechtmässigkeit des Rücktritts zu befinden habe. Dass darüber die verbliebenen Schiedsrichter entscheiden, ist jedenfalls ausgeschlossen. Einzig sachgerecht erscheint, den Entscheid in die Kompetenz des ordentlichen Richters zu stellen. Dieser hat entweder das Erlöschen des Schiedsrichtermandats festzustellen oder, wenn wichtige Gründe für eine Mandatsniederlegung fehlen, den Demissionär aufzufordern, am Verfahren weiterhin mitzuwirken. Auf diesem Boden scheint denn auch die zürcherische Praxis zu stehen (ZR 77/1978, Nr. 2). Erfolgt eine Demission ohne wichtigen Grund, kann dies nicht zur Folge haben, dass das Verfahren einfach ohne den Demissionär und ohne neuen Schiedsrichter weitergeführt werden kann (vgl. GAILLARD, Les manoeuvres dilatoires des parties et des arbitres dans l'arbitrage commercial international, Revue de l'arbitrage 1990, S. 786). Diese Auffassung liesse sich einzig vertreten, BGE 117 Ia 166 S. 170 wenn der Schiedsvertrag oder die Schiedsklausel eine Bestimmung enthielte, wonach bei Ausfall oder Weigerung eines Schiedsrichters das Verfahren von den übrigen Mitgliedern des Schiedsgerichts fortgesetzt wird. Mangels einer solchen Abrede aber ist das Schiedsgericht nach einer Demission erst wieder ordnungsgemäss besetzt, wenn entweder der Demissionär - allenfalls auf Weisung des ordentlichen Richters hin - auf seinen Rücktritt zurückgekommen oder unbesehen des Fehlens wichtiger Gründe zum Rücktritt ersetzt worden ist, weil sich die Amtsführung realiter nicht erzwingen lässt (JOLIDON, a.a.O., N 22 zu Art. 23; GAILLARD, a.a.O., S. 785). Die Wirkung der unbefugten Mandatsniederlegung erschöpft sich daher in der Möglichkeit einer Schadenersatzpflicht (GAILLARD, a.a.O.; LALIVE/POUDRET/REYMOND, a.a.O., N 1.4 zu Art. 23 Konkordat) und von Disziplinarmassnahmen (§ 245 aZPO/ZH); sie kann mithin - ohne entsprechende Parteiabrede - niemals darin bestehen, dass das Schiedsverfahren einfach ohne Mitwirkung des Demissionärs seinen Fortgang nimmt. Führen trotz der Demission eines Schiedsrichters die übrigen Mitglieder des Schiedsgerichts das Verfahren weiter, ohne dass die Parteien sie zu einem solchen Vorgehen ermächtigt hätten, ist das Schiedsgericht nicht ordnungsgemäss besetzt. Die gegenteilige Auffassung des Obergerichts ist mit dem fundamentalen Anspruch der Parteien auf ordnungsgemässe Zusammensetzung der Spruchkammer nicht vereinbar und verletzt daher Art. 58 BV sowie Art. 6 EMRK . d) Die Parteien haben die Beurteilung der Streitsache einem Dreierschiedsgericht übertragen. Gefällt wurde der Teilschiedsspruch lediglich von zwei Schiedsrichtern. Insoweit liegt eine klare Verletzung von § 254 Abs. 1 aZPO/ZH vor. Das Obergericht ist deshalb auch in Willkür verfallen, wenn es den Entscheid des Schiedsgerichts nicht gestützt auf diese Bestimmung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